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9CA1" w14:textId="77777777" w:rsidR="00C83481" w:rsidRDefault="00C43824" w:rsidP="007270C0">
      <w:pPr>
        <w:pStyle w:val="Normal1"/>
        <w:spacing w:before="0" w:after="12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="00473B77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 w:rsidR="002E4A82">
        <w:rPr>
          <w:rFonts w:ascii="Arial" w:hAnsi="Arial" w:cs="Arial"/>
          <w:b/>
          <w:bCs/>
          <w:iCs/>
          <w:sz w:val="28"/>
          <w:szCs w:val="28"/>
          <w:lang w:eastAsia="en-AU"/>
        </w:rPr>
        <w:t>Portable Swimming Pools</w:t>
      </w:r>
    </w:p>
    <w:p w14:paraId="08E7E7DA" w14:textId="69CF2003" w:rsidR="00C43824" w:rsidRPr="00642D1A" w:rsidRDefault="00C43824" w:rsidP="00776E8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00" w:lineRule="atLeast"/>
        <w:ind w:left="284" w:right="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As a </w:t>
      </w:r>
      <w:r w:rsidRPr="00C43824">
        <w:rPr>
          <w:rFonts w:ascii="Arial" w:hAnsi="Arial" w:cs="Arial"/>
          <w:b/>
        </w:rPr>
        <w:t>supplier of “</w:t>
      </w:r>
      <w:r w:rsidRPr="00C43824">
        <w:rPr>
          <w:rFonts w:ascii="Arial" w:hAnsi="Arial" w:cs="Arial"/>
          <w:b/>
          <w:bCs/>
          <w:iCs/>
        </w:rPr>
        <w:t>Portable Swimming Pools”</w:t>
      </w:r>
      <w:r>
        <w:rPr>
          <w:rFonts w:ascii="Arial" w:hAnsi="Arial" w:cs="Arial"/>
          <w:b/>
          <w:bCs/>
          <w:iCs/>
        </w:rPr>
        <w:t xml:space="preserve"> you must complete this form and return it to </w:t>
      </w:r>
      <w:r w:rsidR="00776E8A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to verify the products to be supplied meet the requirements of Australia’s Mandatory </w:t>
      </w:r>
      <w:r w:rsidR="0016518B">
        <w:rPr>
          <w:rFonts w:ascii="Arial" w:hAnsi="Arial" w:cs="Arial"/>
          <w:b/>
          <w:bCs/>
          <w:iCs/>
        </w:rPr>
        <w:t>S</w:t>
      </w:r>
      <w:r>
        <w:rPr>
          <w:rFonts w:ascii="Arial" w:hAnsi="Arial" w:cs="Arial"/>
          <w:b/>
          <w:bCs/>
          <w:iCs/>
        </w:rPr>
        <w:t xml:space="preserve">afety Standard.  These products will not be accepted by </w:t>
      </w:r>
      <w:r w:rsidR="00776E8A">
        <w:rPr>
          <w:rFonts w:ascii="Arial" w:hAnsi="Arial" w:cs="Arial"/>
          <w:b/>
          <w:bCs/>
          <w:iCs/>
        </w:rPr>
        <w:t>us</w:t>
      </w:r>
      <w:r>
        <w:rPr>
          <w:rFonts w:ascii="Arial" w:hAnsi="Arial" w:cs="Arial"/>
          <w:b/>
          <w:bCs/>
          <w:iCs/>
        </w:rPr>
        <w:t xml:space="preserve"> or</w:t>
      </w:r>
      <w:r w:rsidRPr="00A33A0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offered for sale on </w:t>
      </w:r>
      <w:r w:rsidR="00776E8A">
        <w:rPr>
          <w:rFonts w:ascii="Arial" w:hAnsi="Arial" w:cs="Arial"/>
          <w:b/>
        </w:rPr>
        <w:t>our</w:t>
      </w:r>
      <w:r>
        <w:rPr>
          <w:rFonts w:ascii="Arial" w:hAnsi="Arial" w:cs="Arial"/>
          <w:b/>
        </w:rPr>
        <w:t xml:space="preserve"> websites until you have provided this verification.</w:t>
      </w:r>
    </w:p>
    <w:p w14:paraId="43B652F6" w14:textId="77777777" w:rsidR="00C43824" w:rsidRPr="002745FB" w:rsidRDefault="00C43824" w:rsidP="00C43824">
      <w:pPr>
        <w:pStyle w:val="Normal1"/>
        <w:spacing w:before="0" w:after="120" w:line="300" w:lineRule="atLeast"/>
        <w:jc w:val="center"/>
        <w:rPr>
          <w:rFonts w:ascii="Arial" w:hAnsi="Arial" w:cs="Arial"/>
          <w:b/>
          <w:i/>
          <w:sz w:val="22"/>
          <w:szCs w:val="22"/>
        </w:rPr>
      </w:pPr>
    </w:p>
    <w:p w14:paraId="44998D1F" w14:textId="53486C07" w:rsidR="00C43824" w:rsidRPr="00C43824" w:rsidRDefault="00C43824" w:rsidP="00C43824">
      <w:pPr>
        <w:spacing w:line="300" w:lineRule="atLeast"/>
        <w:ind w:left="142" w:right="37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Cs/>
        </w:rPr>
        <w:t xml:space="preserve">It is </w:t>
      </w:r>
      <w:r w:rsidRPr="00C43824">
        <w:rPr>
          <w:rFonts w:ascii="Arial" w:hAnsi="Arial" w:cs="Arial"/>
          <w:b/>
          <w:bCs/>
          <w:iCs/>
        </w:rPr>
        <w:t xml:space="preserve">illegal to supply “Portable </w:t>
      </w:r>
      <w:r w:rsidRPr="004269B6">
        <w:rPr>
          <w:rFonts w:ascii="Arial" w:hAnsi="Arial" w:cs="Arial"/>
          <w:b/>
        </w:rPr>
        <w:t>Swimming Pools” that do not meet the requirements of</w:t>
      </w:r>
      <w:r w:rsidRPr="00C43824">
        <w:rPr>
          <w:rFonts w:ascii="Arial" w:hAnsi="Arial" w:cs="Arial"/>
          <w:b/>
        </w:rPr>
        <w:t xml:space="preserve"> Australia’s mandatory standard</w:t>
      </w:r>
      <w:r w:rsidRPr="004269B6">
        <w:rPr>
          <w:rFonts w:ascii="Arial" w:hAnsi="Arial" w:cs="Arial"/>
          <w:b/>
        </w:rPr>
        <w:t xml:space="preserve"> – </w:t>
      </w:r>
      <w:r w:rsidR="004269B6">
        <w:rPr>
          <w:rFonts w:ascii="Arial" w:hAnsi="Arial" w:cs="Arial"/>
          <w:b/>
        </w:rPr>
        <w:br/>
      </w:r>
      <w:r w:rsidRPr="004269B6">
        <w:rPr>
          <w:rFonts w:ascii="Arial" w:hAnsi="Arial" w:cs="Arial"/>
          <w:i/>
        </w:rPr>
        <w:t>Consumer Goods (Portable Swimming Pools) Safety Standard 2013</w:t>
      </w:r>
      <w:r w:rsidRPr="00C43824">
        <w:rPr>
          <w:rFonts w:ascii="Arial" w:hAnsi="Arial" w:cs="Arial"/>
          <w:b/>
          <w:i/>
        </w:rPr>
        <w:t xml:space="preserve"> </w:t>
      </w:r>
      <w:r w:rsidRPr="00C43824">
        <w:rPr>
          <w:rFonts w:ascii="Arial" w:hAnsi="Arial" w:cs="Arial"/>
        </w:rPr>
        <w:t>(</w:t>
      </w:r>
      <w:r w:rsidRPr="004269B6">
        <w:rPr>
          <w:rFonts w:ascii="Arial" w:hAnsi="Arial" w:cs="Arial"/>
          <w:b/>
        </w:rPr>
        <w:t>“</w:t>
      </w:r>
      <w:r w:rsidRPr="00C43824">
        <w:rPr>
          <w:rFonts w:ascii="Arial" w:hAnsi="Arial" w:cs="Arial"/>
          <w:b/>
        </w:rPr>
        <w:t>the Mandatory Standard”</w:t>
      </w:r>
      <w:r w:rsidRPr="00C43824">
        <w:rPr>
          <w:rFonts w:ascii="Arial" w:hAnsi="Arial" w:cs="Arial"/>
        </w:rPr>
        <w:t>).</w:t>
      </w:r>
    </w:p>
    <w:p w14:paraId="51C7AB5D" w14:textId="77777777" w:rsidR="00C43824" w:rsidRPr="00C43824" w:rsidRDefault="00C43824" w:rsidP="00C43824">
      <w:pPr>
        <w:spacing w:line="300" w:lineRule="atLeast"/>
        <w:ind w:left="142" w:right="372"/>
        <w:jc w:val="both"/>
        <w:rPr>
          <w:rFonts w:ascii="Arial" w:hAnsi="Arial" w:cs="Arial"/>
        </w:rPr>
      </w:pPr>
    </w:p>
    <w:p w14:paraId="7405E51A" w14:textId="77777777" w:rsidR="00C43824" w:rsidRPr="00521551" w:rsidRDefault="00C43824" w:rsidP="00C43824">
      <w:pPr>
        <w:spacing w:line="300" w:lineRule="atLeast"/>
        <w:ind w:left="142" w:right="372"/>
        <w:jc w:val="center"/>
        <w:rPr>
          <w:rFonts w:ascii="Arial" w:hAnsi="Arial" w:cs="Arial"/>
          <w:color w:val="FF0000"/>
        </w:rPr>
      </w:pPr>
      <w:r w:rsidRPr="00521551">
        <w:rPr>
          <w:rFonts w:ascii="Arial" w:hAnsi="Arial" w:cs="Arial"/>
          <w:color w:val="FF0000"/>
        </w:rPr>
        <w:t>By completing this form you are verifying that the products</w:t>
      </w:r>
      <w:r>
        <w:rPr>
          <w:rFonts w:ascii="Arial" w:hAnsi="Arial" w:cs="Arial"/>
          <w:color w:val="FF0000"/>
        </w:rPr>
        <w:t xml:space="preserve"> identified in this form</w:t>
      </w:r>
      <w:r w:rsidRPr="00521551">
        <w:rPr>
          <w:rFonts w:ascii="Arial" w:hAnsi="Arial" w:cs="Arial"/>
          <w:color w:val="FF0000"/>
        </w:rPr>
        <w:t xml:space="preserve"> comply with the Mandatory Standard.</w:t>
      </w:r>
    </w:p>
    <w:p w14:paraId="2132F9E1" w14:textId="1C65375D" w:rsidR="00C43824" w:rsidRDefault="00C43824" w:rsidP="00C43824">
      <w:pPr>
        <w:spacing w:line="300" w:lineRule="atLeast"/>
        <w:ind w:left="142" w:right="372"/>
        <w:jc w:val="both"/>
        <w:rPr>
          <w:rFonts w:ascii="Arial" w:hAnsi="Arial" w:cs="Arial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5026"/>
      </w:tblGrid>
      <w:tr w:rsidR="004269B6" w14:paraId="56EF3FD1" w14:textId="77777777" w:rsidTr="0016518B">
        <w:tc>
          <w:tcPr>
            <w:tcW w:w="15026" w:type="dxa"/>
            <w:shd w:val="clear" w:color="auto" w:fill="F2F2F2" w:themeFill="background1" w:themeFillShade="F2"/>
          </w:tcPr>
          <w:p w14:paraId="56E49DC6" w14:textId="77777777" w:rsidR="004269B6" w:rsidRDefault="004269B6" w:rsidP="004269B6">
            <w:pPr>
              <w:spacing w:before="120" w:line="300" w:lineRule="atLeast"/>
              <w:ind w:left="142" w:right="374"/>
              <w:rPr>
                <w:rFonts w:ascii="Arial" w:hAnsi="Arial" w:cs="Arial"/>
                <w:sz w:val="22"/>
                <w:szCs w:val="22"/>
              </w:rPr>
            </w:pPr>
            <w:r w:rsidRPr="0003078F">
              <w:rPr>
                <w:rFonts w:ascii="Arial" w:hAnsi="Arial" w:cs="Arial"/>
                <w:b/>
                <w:sz w:val="22"/>
                <w:szCs w:val="22"/>
              </w:rPr>
              <w:t>What products must comply?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2432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mandatory standard applies to a swimming pool that is intended for personal, domestic or household use and one of the following:</w:t>
            </w:r>
          </w:p>
          <w:p w14:paraId="1B858A93" w14:textId="77777777" w:rsidR="004269B6" w:rsidRPr="002E4A82" w:rsidRDefault="004269B6" w:rsidP="004269B6">
            <w:pPr>
              <w:pStyle w:val="ListParagraph"/>
              <w:numPr>
                <w:ilvl w:val="0"/>
                <w:numId w:val="25"/>
              </w:numPr>
              <w:spacing w:line="300" w:lineRule="atLeast"/>
              <w:ind w:right="372"/>
              <w:rPr>
                <w:rFonts w:ascii="Arial" w:hAnsi="Arial" w:cs="Arial"/>
                <w:sz w:val="22"/>
                <w:szCs w:val="22"/>
              </w:rPr>
            </w:pPr>
            <w:r w:rsidRPr="002E4A82">
              <w:rPr>
                <w:rFonts w:ascii="Arial" w:hAnsi="Arial" w:cs="Arial"/>
                <w:sz w:val="22"/>
                <w:szCs w:val="22"/>
              </w:rPr>
              <w:t>inflatable swimming pool of any depth;</w:t>
            </w:r>
          </w:p>
          <w:p w14:paraId="6D21F47A" w14:textId="77777777" w:rsidR="004269B6" w:rsidRPr="002E4A82" w:rsidRDefault="004269B6" w:rsidP="004269B6">
            <w:pPr>
              <w:pStyle w:val="ListParagraph"/>
              <w:numPr>
                <w:ilvl w:val="0"/>
                <w:numId w:val="25"/>
              </w:numPr>
              <w:spacing w:line="300" w:lineRule="atLeast"/>
              <w:ind w:right="372"/>
              <w:rPr>
                <w:rFonts w:ascii="Arial" w:hAnsi="Arial" w:cs="Arial"/>
                <w:sz w:val="22"/>
                <w:szCs w:val="22"/>
              </w:rPr>
            </w:pPr>
            <w:r w:rsidRPr="002E4A82">
              <w:rPr>
                <w:rFonts w:ascii="Arial" w:hAnsi="Arial" w:cs="Arial"/>
                <w:sz w:val="22"/>
                <w:szCs w:val="22"/>
              </w:rPr>
              <w:t>soft-sided swimming pool of any depth;</w:t>
            </w:r>
          </w:p>
          <w:p w14:paraId="4AACECAC" w14:textId="77777777" w:rsidR="004269B6" w:rsidRPr="002E4A82" w:rsidRDefault="004269B6" w:rsidP="004269B6">
            <w:pPr>
              <w:pStyle w:val="ListParagraph"/>
              <w:numPr>
                <w:ilvl w:val="0"/>
                <w:numId w:val="25"/>
              </w:numPr>
              <w:spacing w:line="300" w:lineRule="atLeast"/>
              <w:ind w:right="372"/>
              <w:rPr>
                <w:rFonts w:ascii="Arial" w:hAnsi="Arial" w:cs="Arial"/>
                <w:sz w:val="22"/>
                <w:szCs w:val="22"/>
              </w:rPr>
            </w:pPr>
            <w:r w:rsidRPr="002E4A82">
              <w:rPr>
                <w:rFonts w:ascii="Arial" w:hAnsi="Arial" w:cs="Arial"/>
                <w:sz w:val="22"/>
                <w:szCs w:val="22"/>
              </w:rPr>
              <w:t>rigid-sided swimming pool that is not deeper than 300 mm.</w:t>
            </w:r>
          </w:p>
          <w:p w14:paraId="5833D13F" w14:textId="77777777" w:rsidR="004269B6" w:rsidRDefault="004269B6" w:rsidP="00C43824">
            <w:pPr>
              <w:spacing w:line="300" w:lineRule="atLeast"/>
              <w:ind w:right="372"/>
              <w:jc w:val="both"/>
              <w:rPr>
                <w:rFonts w:ascii="Arial" w:hAnsi="Arial" w:cs="Arial"/>
              </w:rPr>
            </w:pPr>
          </w:p>
        </w:tc>
      </w:tr>
    </w:tbl>
    <w:p w14:paraId="39560532" w14:textId="77777777" w:rsidR="00776E8A" w:rsidRDefault="00776E8A" w:rsidP="00776E8A">
      <w:pPr>
        <w:spacing w:line="300" w:lineRule="atLeast"/>
        <w:ind w:left="142" w:right="372"/>
        <w:rPr>
          <w:rFonts w:ascii="Arial" w:hAnsi="Arial" w:cs="Arial"/>
          <w:sz w:val="22"/>
          <w:szCs w:val="22"/>
          <w:u w:val="single"/>
        </w:rPr>
      </w:pPr>
      <w:bookmarkStart w:id="0" w:name="_Hlk528174263"/>
    </w:p>
    <w:tbl>
      <w:tblPr>
        <w:tblW w:w="15026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4536"/>
        <w:gridCol w:w="3261"/>
      </w:tblGrid>
      <w:tr w:rsidR="00776E8A" w14:paraId="70DDCE59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2129A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63B4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776E8A" w14:paraId="788961C6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4223FF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A442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Registration Number:</w:t>
            </w:r>
          </w:p>
        </w:tc>
      </w:tr>
      <w:tr w:rsidR="00776E8A" w14:paraId="728BB7BD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78D50D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1C2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  <w:tr w:rsidR="00776E8A" w14:paraId="00326DE0" w14:textId="77777777" w:rsidTr="003A38E1">
        <w:trPr>
          <w:cantSplit/>
          <w:trHeight w:val="4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14CCD0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2AD8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</w:tr>
      <w:tr w:rsidR="00776E8A" w14:paraId="265863DF" w14:textId="77777777" w:rsidTr="003A38E1">
        <w:trPr>
          <w:cantSplit/>
          <w:trHeight w:val="44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ADCFD7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3E0E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</w:tr>
      <w:tr w:rsidR="00776E8A" w14:paraId="5CF3B740" w14:textId="77777777" w:rsidTr="003A38E1">
        <w:trPr>
          <w:cantSplit/>
          <w:trHeight w:val="5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C321D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B3CAF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76E8A" w14:paraId="0CB33C9E" w14:textId="77777777" w:rsidTr="003A38E1">
        <w:trPr>
          <w:cantSplit/>
          <w:trHeight w:hRule="exact" w:val="45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FC80" w14:textId="77777777" w:rsidR="00776E8A" w:rsidRDefault="00776E8A" w:rsidP="003A38E1">
            <w:pPr>
              <w:spacing w:before="12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Product:</w:t>
            </w: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83B5" w14:textId="77777777" w:rsidR="00776E8A" w:rsidRDefault="00776E8A" w:rsidP="003A38E1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Description:</w:t>
            </w:r>
          </w:p>
          <w:p w14:paraId="62117BFC" w14:textId="77777777" w:rsidR="00776E8A" w:rsidRPr="00D17A6E" w:rsidRDefault="00776E8A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CE6C74" w14:textId="77777777" w:rsidR="00776E8A" w:rsidRPr="00D17A6E" w:rsidRDefault="00776E8A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238C49" w14:textId="77777777" w:rsidR="00776E8A" w:rsidRPr="00D17A6E" w:rsidRDefault="00776E8A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C9A6CF" w14:textId="77777777" w:rsidR="00776E8A" w:rsidRPr="00D17A6E" w:rsidRDefault="00776E8A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12851" w14:textId="77777777" w:rsidR="00776E8A" w:rsidRPr="00D17A6E" w:rsidRDefault="00776E8A" w:rsidP="003A38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449274" w14:textId="77777777" w:rsidR="00776E8A" w:rsidRPr="00D17A6E" w:rsidRDefault="00776E8A" w:rsidP="003A38E1">
            <w:pPr>
              <w:tabs>
                <w:tab w:val="left" w:pos="187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776E8A" w14:paraId="79F78827" w14:textId="77777777" w:rsidTr="003A38E1">
        <w:trPr>
          <w:cantSplit/>
          <w:trHeight w:val="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3005" w14:textId="77777777" w:rsidR="00776E8A" w:rsidRDefault="00776E8A" w:rsidP="003A38E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199D" w14:textId="77777777" w:rsidR="00776E8A" w:rsidRPr="00D17A6E" w:rsidRDefault="00776E8A" w:rsidP="003A38E1">
            <w:pPr>
              <w:spacing w:before="120" w:after="12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Identifiers:</w:t>
            </w:r>
          </w:p>
        </w:tc>
      </w:tr>
      <w:tr w:rsidR="00776E8A" w14:paraId="0BA98220" w14:textId="77777777" w:rsidTr="003A38E1">
        <w:trPr>
          <w:cantSplit/>
          <w:trHeight w:val="39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4491" w14:textId="77777777" w:rsidR="00776E8A" w:rsidRDefault="00776E8A" w:rsidP="003A38E1">
            <w:pPr>
              <w:spacing w:before="240" w:after="240"/>
              <w:ind w:left="11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Authority: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4704" w14:textId="77777777" w:rsidR="00776E8A" w:rsidRDefault="00776E8A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4436" w14:textId="77777777" w:rsidR="00776E8A" w:rsidRDefault="00776E8A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8AAB4" w14:textId="77777777" w:rsidR="00776E8A" w:rsidRDefault="00776E8A" w:rsidP="003A38E1">
            <w:pPr>
              <w:spacing w:before="240" w:after="240"/>
              <w:ind w:lef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           /            /</w:t>
            </w:r>
          </w:p>
        </w:tc>
      </w:tr>
      <w:bookmarkEnd w:id="0"/>
    </w:tbl>
    <w:p w14:paraId="6ADBE09D" w14:textId="77777777" w:rsidR="00C43824" w:rsidRDefault="00C43824" w:rsidP="00C83481">
      <w:pPr>
        <w:spacing w:line="300" w:lineRule="atLeast"/>
        <w:ind w:left="142" w:right="372"/>
        <w:rPr>
          <w:rFonts w:ascii="Arial" w:hAnsi="Arial" w:cs="Arial"/>
          <w:sz w:val="22"/>
          <w:szCs w:val="22"/>
        </w:rPr>
      </w:pPr>
    </w:p>
    <w:p w14:paraId="4A96E930" w14:textId="77777777" w:rsidR="00776E8A" w:rsidRDefault="00C43824" w:rsidP="00776E8A">
      <w:pPr>
        <w:pStyle w:val="Normal1"/>
        <w:spacing w:before="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sz w:val="22"/>
          <w:szCs w:val="22"/>
        </w:rPr>
        <w:br w:type="page"/>
      </w:r>
      <w:r w:rsidR="00776E8A">
        <w:rPr>
          <w:rFonts w:ascii="Arial" w:hAnsi="Arial" w:cs="Arial"/>
          <w:b/>
          <w:bCs/>
          <w:iCs/>
          <w:sz w:val="28"/>
          <w:szCs w:val="28"/>
        </w:rPr>
        <w:lastRenderedPageBreak/>
        <w:t>Supplier Verific</w:t>
      </w:r>
      <w:bookmarkStart w:id="1" w:name="_GoBack"/>
      <w:bookmarkEnd w:id="1"/>
      <w:r w:rsidR="00776E8A">
        <w:rPr>
          <w:rFonts w:ascii="Arial" w:hAnsi="Arial" w:cs="Arial"/>
          <w:b/>
          <w:bCs/>
          <w:iCs/>
          <w:sz w:val="28"/>
          <w:szCs w:val="28"/>
        </w:rPr>
        <w:t xml:space="preserve">ation </w:t>
      </w:r>
      <w:r w:rsidR="00776E8A"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 w:rsidR="00776E8A">
        <w:rPr>
          <w:rFonts w:ascii="Arial" w:hAnsi="Arial" w:cs="Arial"/>
          <w:b/>
          <w:bCs/>
          <w:iCs/>
          <w:sz w:val="28"/>
          <w:szCs w:val="28"/>
          <w:lang w:eastAsia="en-AU"/>
        </w:rPr>
        <w:t>Portable Swimming Pools</w:t>
      </w:r>
    </w:p>
    <w:p w14:paraId="3A4050C2" w14:textId="77777777" w:rsidR="00C43824" w:rsidRDefault="00C4382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5309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  <w:gridCol w:w="236"/>
        <w:gridCol w:w="4158"/>
      </w:tblGrid>
      <w:tr w:rsidR="00C43824" w:rsidRPr="009F6476" w14:paraId="6188B6F5" w14:textId="77777777" w:rsidTr="004269B6">
        <w:trPr>
          <w:cantSplit/>
          <w:tblHeader/>
        </w:trPr>
        <w:tc>
          <w:tcPr>
            <w:tcW w:w="10915" w:type="dxa"/>
            <w:tcBorders>
              <w:right w:val="single" w:sz="4" w:space="0" w:color="auto"/>
            </w:tcBorders>
          </w:tcPr>
          <w:p w14:paraId="196EE6A9" w14:textId="21C89015" w:rsidR="00C43824" w:rsidRPr="006C402A" w:rsidRDefault="00C43824" w:rsidP="004675BF">
            <w:pPr>
              <w:tabs>
                <w:tab w:val="center" w:pos="6271"/>
                <w:tab w:val="left" w:pos="7743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4269B6"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C2C" w14:textId="77777777" w:rsidR="00C43824" w:rsidRPr="006C402A" w:rsidRDefault="00C43824" w:rsidP="007D4EB3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58" w:type="dxa"/>
            <w:tcBorders>
              <w:left w:val="single" w:sz="4" w:space="0" w:color="auto"/>
              <w:bottom w:val="single" w:sz="6" w:space="0" w:color="auto"/>
            </w:tcBorders>
          </w:tcPr>
          <w:p w14:paraId="1240F877" w14:textId="17ACEAC8" w:rsidR="00C43824" w:rsidRDefault="004269B6" w:rsidP="007D4EB3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Tick if </w:t>
            </w:r>
            <w:r w:rsidR="00C43824">
              <w:rPr>
                <w:rFonts w:ascii="Arial" w:hAnsi="Arial" w:cs="Arial"/>
                <w:b/>
                <w:sz w:val="22"/>
                <w:szCs w:val="22"/>
              </w:rPr>
              <w:t>Complie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  <w:tr w:rsidR="004269B6" w:rsidRPr="009F6476" w14:paraId="39D9B7CC" w14:textId="77777777" w:rsidTr="004269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single" w:sz="4" w:space="0" w:color="auto"/>
              <w:bottom w:val="dashSmallGap" w:sz="4" w:space="0" w:color="auto"/>
            </w:tcBorders>
          </w:tcPr>
          <w:p w14:paraId="54DFCB04" w14:textId="77777777" w:rsidR="004269B6" w:rsidRPr="006C402A" w:rsidRDefault="004269B6" w:rsidP="004675BF">
            <w:pPr>
              <w:tabs>
                <w:tab w:val="left" w:pos="1108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Complies with Mandatory Standard –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onfirmation </w:t>
            </w:r>
            <w:r>
              <w:rPr>
                <w:rFonts w:ascii="Arial" w:hAnsi="Arial" w:cs="Arial"/>
                <w:sz w:val="22"/>
                <w:szCs w:val="22"/>
              </w:rPr>
              <w:t>that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he</w:t>
            </w:r>
            <w:r w:rsidRPr="00E2168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product complies with the Mandatory Standard.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87C3584" w14:textId="77777777" w:rsidR="004269B6" w:rsidRPr="006C402A" w:rsidRDefault="004269B6" w:rsidP="004675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01DD35B" w14:textId="23194B72" w:rsidR="004269B6" w:rsidRPr="001931A0" w:rsidRDefault="004269B6" w:rsidP="004675BF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</w:p>
        </w:tc>
      </w:tr>
      <w:tr w:rsidR="004269B6" w:rsidRPr="009F6476" w14:paraId="6A790FDC" w14:textId="77777777" w:rsidTr="004269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06CD56A" w14:textId="77777777" w:rsidR="004269B6" w:rsidRPr="00B14054" w:rsidRDefault="004269B6" w:rsidP="009F5B8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Warning on the pool and packaging </w:t>
            </w:r>
            <w:r w:rsidRPr="00B14054">
              <w:rPr>
                <w:rFonts w:ascii="Arial" w:hAnsi="Arial" w:cs="Arial"/>
                <w:sz w:val="22"/>
                <w:szCs w:val="22"/>
                <w:lang w:val="en-US"/>
              </w:rPr>
              <w:t xml:space="preserve">– 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A visual inspection of the product has been conducted that confirms </w:t>
            </w:r>
            <w:r w:rsidRPr="00B14054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 w:rsidRPr="00B14054">
              <w:rPr>
                <w:rFonts w:ascii="Arial" w:hAnsi="Arial" w:cs="Arial"/>
                <w:sz w:val="22"/>
                <w:szCs w:val="22"/>
                <w:lang w:val="en-US"/>
              </w:rPr>
              <w:t>he following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442837" w14:textId="77777777" w:rsidR="004269B6" w:rsidRPr="006C402A" w:rsidRDefault="004269B6" w:rsidP="00DD75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C77E40" w14:textId="77777777" w:rsidR="004269B6" w:rsidRPr="006C402A" w:rsidRDefault="004269B6" w:rsidP="00DD75B7">
            <w:pPr>
              <w:ind w:right="-18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9B6" w:rsidRPr="009F6476" w14:paraId="62FCE790" w14:textId="77777777" w:rsidTr="004269B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16261D5" w14:textId="77777777" w:rsidR="004269B6" w:rsidRDefault="004269B6" w:rsidP="002E4A82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right="-108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pool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>depth is less than 300mm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the following warning </w:t>
            </w:r>
            <w:r>
              <w:rPr>
                <w:rFonts w:ascii="Arial" w:hAnsi="Arial" w:cs="Arial"/>
                <w:sz w:val="22"/>
                <w:szCs w:val="22"/>
              </w:rPr>
              <w:t>appears on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 xml:space="preserve">pool </w:t>
            </w:r>
            <w:r w:rsidRPr="002E4A82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 xml:space="preserve"> packaging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(must be exact wording):</w:t>
            </w:r>
          </w:p>
          <w:p w14:paraId="76500C55" w14:textId="77777777" w:rsidR="004269B6" w:rsidRDefault="004269B6" w:rsidP="002E4A82">
            <w:pPr>
              <w:autoSpaceDE w:val="0"/>
              <w:autoSpaceDN w:val="0"/>
              <w:adjustRightInd w:val="0"/>
              <w:spacing w:before="12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 w:rsidRPr="00FB58B6"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WARNING</w:t>
            </w: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!</w:t>
            </w:r>
          </w:p>
          <w:p w14:paraId="77F5FE8E" w14:textId="77777777" w:rsidR="004269B6" w:rsidRDefault="004269B6" w:rsidP="002E4A82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Children have drowned in portable swimming pools.</w:t>
            </w:r>
          </w:p>
          <w:p w14:paraId="33337A28" w14:textId="77777777" w:rsidR="004269B6" w:rsidRDefault="004269B6" w:rsidP="002E4A82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Ensure active adult supervision at all times.</w:t>
            </w:r>
          </w:p>
          <w:p w14:paraId="58E23203" w14:textId="77777777" w:rsidR="004269B6" w:rsidRDefault="004269B6" w:rsidP="002E4A82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Do not leave children unsupervised in or around the pool – keep them within arms’ reach.</w:t>
            </w:r>
          </w:p>
          <w:p w14:paraId="78A582FD" w14:textId="77777777" w:rsidR="004269B6" w:rsidRPr="00061212" w:rsidRDefault="004269B6" w:rsidP="00A92F1D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Empty and store safely after use.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9F2551" w14:textId="77777777" w:rsidR="004269B6" w:rsidRPr="006C402A" w:rsidRDefault="004269B6" w:rsidP="007D4E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673C36" w14:textId="4CF4A57B" w:rsidR="004269B6" w:rsidRPr="001931A0" w:rsidRDefault="004269B6" w:rsidP="007D4EB3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4D6A9F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 w:rsidRPr="001931A0">
              <w:rPr>
                <w:rFonts w:ascii="Arial" w:hAnsi="Arial" w:cs="Arial"/>
                <w:position w:val="10"/>
                <w:sz w:val="22"/>
                <w:szCs w:val="22"/>
              </w:rPr>
              <w:t>YES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br/>
              <w:t>(only tick if depth less than 300mm)</w:t>
            </w:r>
          </w:p>
        </w:tc>
      </w:tr>
      <w:tr w:rsidR="004269B6" w:rsidRPr="009F6476" w14:paraId="5B8344DF" w14:textId="77777777" w:rsidTr="0024106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4C690A" w14:textId="77777777" w:rsidR="004269B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the pool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 xml:space="preserve">depth is 300mm or more 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the following warning </w:t>
            </w:r>
            <w:r>
              <w:rPr>
                <w:rFonts w:ascii="Arial" w:hAnsi="Arial" w:cs="Arial"/>
                <w:sz w:val="22"/>
                <w:szCs w:val="22"/>
              </w:rPr>
              <w:t>appears on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 xml:space="preserve">pool </w:t>
            </w:r>
            <w:r w:rsidRPr="002E4A82">
              <w:rPr>
                <w:rFonts w:ascii="Arial" w:hAnsi="Arial" w:cs="Arial"/>
                <w:b/>
                <w:sz w:val="22"/>
                <w:szCs w:val="22"/>
                <w:u w:val="single"/>
              </w:rPr>
              <w:t>and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 xml:space="preserve"> packaging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(must be exact wording):</w:t>
            </w:r>
          </w:p>
          <w:p w14:paraId="5D66636C" w14:textId="77777777" w:rsidR="004269B6" w:rsidRDefault="004269B6" w:rsidP="004269B6">
            <w:pPr>
              <w:autoSpaceDE w:val="0"/>
              <w:autoSpaceDN w:val="0"/>
              <w:adjustRightInd w:val="0"/>
              <w:spacing w:before="12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 w:rsidRPr="00FB58B6"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WARNING</w:t>
            </w: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!</w:t>
            </w:r>
          </w:p>
          <w:p w14:paraId="3C010851" w14:textId="77777777" w:rsidR="004269B6" w:rsidRDefault="004269B6" w:rsidP="004269B6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Children have drowned in portable swimming pools.</w:t>
            </w:r>
          </w:p>
          <w:p w14:paraId="0EA8DC5A" w14:textId="77777777" w:rsidR="004269B6" w:rsidRDefault="004269B6" w:rsidP="004269B6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Ensure active adult supervision at all times.</w:t>
            </w:r>
          </w:p>
          <w:p w14:paraId="7F1A22C3" w14:textId="77777777" w:rsidR="004269B6" w:rsidRDefault="004269B6" w:rsidP="004269B6">
            <w:pPr>
              <w:autoSpaceDE w:val="0"/>
              <w:autoSpaceDN w:val="0"/>
              <w:adjustRightInd w:val="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Do not leave children unsupervised in or around the pool – keep them within arms’ reach.</w:t>
            </w:r>
          </w:p>
          <w:p w14:paraId="28B48A47" w14:textId="77777777" w:rsidR="004269B6" w:rsidRPr="00061212" w:rsidRDefault="004269B6" w:rsidP="004269B6">
            <w:pPr>
              <w:autoSpaceDE w:val="0"/>
              <w:autoSpaceDN w:val="0"/>
              <w:adjustRightInd w:val="0"/>
              <w:spacing w:after="120"/>
              <w:ind w:left="567"/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</w:pPr>
            <w:r>
              <w:rPr>
                <w:rFonts w:ascii="ZurichBT-Light" w:hAnsi="ZurichBT-Light" w:cs="ZurichBT-Light"/>
                <w:b/>
                <w:sz w:val="22"/>
                <w:szCs w:val="22"/>
                <w:lang w:val="en-US" w:eastAsia="en-US"/>
              </w:rPr>
              <w:t>Pool fencing laws apply to this pool.  Consult your local government authority for fencing requirements.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298DF3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2377A0C" w14:textId="607D4D9A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C437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1C437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position w:val="10"/>
                <w:sz w:val="22"/>
                <w:szCs w:val="22"/>
              </w:rPr>
              <w:br/>
              <w:t>(only tick if depth 300mm or more)</w:t>
            </w:r>
          </w:p>
        </w:tc>
      </w:tr>
      <w:tr w:rsidR="004269B6" w:rsidRPr="009F6476" w14:paraId="6FD5C375" w14:textId="77777777" w:rsidTr="0024106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F60823" w14:textId="77777777" w:rsidR="004269B6" w:rsidRDefault="004269B6" w:rsidP="00776E8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above warning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>on the pool</w:t>
            </w:r>
            <w:r>
              <w:rPr>
                <w:rFonts w:ascii="Arial" w:hAnsi="Arial" w:cs="Arial"/>
                <w:sz w:val="22"/>
                <w:szCs w:val="22"/>
              </w:rPr>
              <w:t xml:space="preserve"> meets the following requirements:</w:t>
            </w:r>
          </w:p>
          <w:p w14:paraId="5AA2FA7C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printed or embossed on the pool</w:t>
            </w:r>
          </w:p>
          <w:p w14:paraId="397043BC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legible from a distance of 3 metres</w:t>
            </w:r>
          </w:p>
          <w:p w14:paraId="22E35139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“WARNING” is at least 10mm high and other words at least 6mm high</w:t>
            </w:r>
          </w:p>
          <w:p w14:paraId="05AFCDF4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contrasting colour to the background</w:t>
            </w:r>
          </w:p>
          <w:p w14:paraId="447CBFBD" w14:textId="77777777" w:rsidR="004269B6" w:rsidRPr="002E4A82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visible when standing outside the pool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D4950C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66A999" w14:textId="7D306B28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C437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1C437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4EC46347" w14:textId="77777777" w:rsidTr="0024106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91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42A2" w14:textId="77777777" w:rsidR="004269B6" w:rsidRDefault="004269B6" w:rsidP="00776E8A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/>
              <w:ind w:left="431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above warning on the </w:t>
            </w:r>
            <w:r w:rsidRPr="002E4A82">
              <w:rPr>
                <w:rFonts w:ascii="Arial" w:hAnsi="Arial" w:cs="Arial"/>
                <w:b/>
                <w:sz w:val="22"/>
                <w:szCs w:val="22"/>
              </w:rPr>
              <w:t>packaging</w:t>
            </w:r>
            <w:r>
              <w:rPr>
                <w:rFonts w:ascii="Arial" w:hAnsi="Arial" w:cs="Arial"/>
                <w:sz w:val="22"/>
                <w:szCs w:val="22"/>
              </w:rPr>
              <w:t xml:space="preserve"> meets the following requirements:</w:t>
            </w:r>
          </w:p>
          <w:p w14:paraId="15E126AF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printed</w:t>
            </w:r>
            <w:r w:rsidRPr="00494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 the front of the packaging or on a label applied to the front of the packaging</w:t>
            </w:r>
          </w:p>
          <w:p w14:paraId="7995B55A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legible from a distance of 3 metres</w:t>
            </w:r>
          </w:p>
          <w:p w14:paraId="7F5B3D38" w14:textId="77777777" w:rsidR="004269B6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word “WARNING” is at least 10mm high and other words at least 6mm high</w:t>
            </w:r>
          </w:p>
          <w:p w14:paraId="6A48938A" w14:textId="77777777" w:rsidR="004269B6" w:rsidRPr="002E4A82" w:rsidRDefault="004269B6" w:rsidP="0016518B">
            <w:pPr>
              <w:numPr>
                <w:ilvl w:val="5"/>
                <w:numId w:val="27"/>
              </w:numPr>
              <w:tabs>
                <w:tab w:val="clear" w:pos="432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884" w:hanging="425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contrasting colour to the background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FB42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5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02EC" w14:textId="1E650E0C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1C437B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1C437B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105BEC79" w14:textId="77777777" w:rsidR="00776E8A" w:rsidRDefault="00776E8A" w:rsidP="00776E8A">
      <w:pPr>
        <w:pStyle w:val="Normal1"/>
        <w:spacing w:before="0" w:after="120" w:line="30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1A7CA09E" w14:textId="3A2AA07F" w:rsidR="00776E8A" w:rsidRDefault="00776E8A" w:rsidP="00776E8A">
      <w:pPr>
        <w:pStyle w:val="Normal1"/>
        <w:spacing w:before="0" w:after="120" w:line="300" w:lineRule="atLeast"/>
        <w:jc w:val="center"/>
        <w:rPr>
          <w:rFonts w:ascii="Arial" w:hAnsi="Arial" w:cs="Arial"/>
          <w:b/>
          <w:bCs/>
          <w:iCs/>
          <w:sz w:val="28"/>
          <w:szCs w:val="28"/>
          <w:lang w:eastAsia="en-AU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Supplier Verification </w:t>
      </w:r>
      <w:r w:rsidRPr="00156E56">
        <w:rPr>
          <w:rFonts w:ascii="Arial" w:hAnsi="Arial" w:cs="Arial"/>
          <w:b/>
          <w:bCs/>
          <w:iCs/>
          <w:sz w:val="28"/>
          <w:szCs w:val="28"/>
          <w:lang w:eastAsia="en-AU"/>
        </w:rPr>
        <w:t xml:space="preserve">for </w:t>
      </w:r>
      <w:r>
        <w:rPr>
          <w:rFonts w:ascii="Arial" w:hAnsi="Arial" w:cs="Arial"/>
          <w:b/>
          <w:bCs/>
          <w:iCs/>
          <w:sz w:val="28"/>
          <w:szCs w:val="28"/>
          <w:lang w:eastAsia="en-AU"/>
        </w:rPr>
        <w:t>Portable Swimming Pools</w:t>
      </w:r>
    </w:p>
    <w:p w14:paraId="5F218A96" w14:textId="77777777" w:rsidR="0015470B" w:rsidRDefault="0015470B" w:rsidP="002745FB"/>
    <w:tbl>
      <w:tblPr>
        <w:tblStyle w:val="TableGrid"/>
        <w:tblW w:w="15167" w:type="dxa"/>
        <w:tblInd w:w="250" w:type="dxa"/>
        <w:tblBorders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1"/>
        <w:gridCol w:w="236"/>
        <w:gridCol w:w="1890"/>
      </w:tblGrid>
      <w:tr w:rsidR="004269B6" w:rsidRPr="009F6476" w14:paraId="3F72BE9C" w14:textId="77777777" w:rsidTr="00A55F10">
        <w:trPr>
          <w:cantSplit/>
          <w:tblHeader/>
        </w:trPr>
        <w:tc>
          <w:tcPr>
            <w:tcW w:w="13041" w:type="dxa"/>
            <w:tcBorders>
              <w:right w:val="single" w:sz="4" w:space="0" w:color="auto"/>
            </w:tcBorders>
          </w:tcPr>
          <w:p w14:paraId="0FB844DB" w14:textId="6E8733D9" w:rsidR="004269B6" w:rsidRPr="00B14054" w:rsidRDefault="004269B6" w:rsidP="00A55F1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Supplier Verification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477" w14:textId="77777777" w:rsidR="004269B6" w:rsidRPr="006C402A" w:rsidRDefault="004269B6" w:rsidP="00A55F10">
            <w:pPr>
              <w:spacing w:before="60" w:after="60"/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6" w:space="0" w:color="auto"/>
            </w:tcBorders>
          </w:tcPr>
          <w:p w14:paraId="598787D4" w14:textId="77777777" w:rsidR="004269B6" w:rsidRDefault="004269B6" w:rsidP="00A55F10">
            <w:pPr>
              <w:spacing w:before="120" w:after="120"/>
              <w:ind w:left="-204" w:right="-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Tick if Complies</w:t>
            </w:r>
          </w:p>
        </w:tc>
      </w:tr>
      <w:tr w:rsidR="004269B6" w:rsidRPr="009F6476" w14:paraId="6C3120B3" w14:textId="77777777" w:rsidTr="00A55F10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0074469" w14:textId="77777777" w:rsidR="004269B6" w:rsidRPr="00B14054" w:rsidRDefault="004269B6" w:rsidP="00A55F10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Safety sign on pool</w:t>
            </w:r>
            <w:r w:rsidRPr="00B14054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A visual inspection of the </w:t>
            </w:r>
            <w:r>
              <w:rPr>
                <w:rFonts w:ascii="Arial" w:hAnsi="Arial" w:cs="Arial"/>
                <w:sz w:val="22"/>
                <w:szCs w:val="22"/>
              </w:rPr>
              <w:t>pool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 has been conducted that confirms</w:t>
            </w:r>
            <w:r>
              <w:rPr>
                <w:rFonts w:ascii="Arial" w:hAnsi="Arial" w:cs="Arial"/>
                <w:sz w:val="22"/>
                <w:szCs w:val="22"/>
              </w:rPr>
              <w:t xml:space="preserve"> a safety sign appears on the pool</w:t>
            </w:r>
            <w:r w:rsidRPr="00B140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054">
              <w:rPr>
                <w:rFonts w:ascii="Arial" w:hAnsi="Arial" w:cs="Arial"/>
                <w:sz w:val="22"/>
                <w:szCs w:val="22"/>
                <w:lang w:val="en-US"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hat meets the </w:t>
            </w:r>
            <w:r w:rsidRPr="00B14054">
              <w:rPr>
                <w:rFonts w:ascii="Arial" w:hAnsi="Arial" w:cs="Arial"/>
                <w:sz w:val="22"/>
                <w:szCs w:val="22"/>
                <w:lang w:val="en-US"/>
              </w:rPr>
              <w:t>following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requirements: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D82C8A" w14:textId="77777777" w:rsidR="004269B6" w:rsidRPr="006C402A" w:rsidRDefault="004269B6" w:rsidP="00A55F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316D0A" w14:textId="77777777" w:rsidR="004269B6" w:rsidRPr="006C402A" w:rsidRDefault="004269B6" w:rsidP="00A55F10">
            <w:pPr>
              <w:ind w:right="-18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69B6" w:rsidRPr="009F6476" w14:paraId="6EAAD0A9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3C06DD6" w14:textId="77777777" w:rsidR="004269B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safety sign is this symbol:</w:t>
            </w:r>
          </w:p>
          <w:p w14:paraId="7842797D" w14:textId="77777777" w:rsidR="004269B6" w:rsidRDefault="004269B6" w:rsidP="004269B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89DC4C" wp14:editId="4CD4FF0A">
                  <wp:extent cx="1112993" cy="1087582"/>
                  <wp:effectExtent l="19050" t="0" r="0" b="0"/>
                  <wp:docPr id="1" name="il_fi" descr="f0453ba7d75d5b143b4cd161bd9bde0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0453ba7d75d5b143b4cd161bd9bde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816" t="3200" r="5725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065" cy="108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BACF1" w14:textId="77777777" w:rsidR="004269B6" w:rsidRPr="00E45891" w:rsidRDefault="004269B6" w:rsidP="004269B6">
            <w:pPr>
              <w:overflowPunct w:val="0"/>
              <w:autoSpaceDE w:val="0"/>
              <w:autoSpaceDN w:val="0"/>
              <w:adjustRightInd w:val="0"/>
              <w:spacing w:before="120" w:after="120"/>
              <w:ind w:left="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Note: this safety sign is WSM002 included in both ISO 20712-1:2008 and </w:t>
            </w:r>
            <w:r w:rsidRPr="00E45891">
              <w:rPr>
                <w:rFonts w:ascii="Arial" w:hAnsi="Arial" w:cs="Arial"/>
                <w:sz w:val="22"/>
                <w:szCs w:val="22"/>
              </w:rPr>
              <w:t>AS/NZS 2416.1:2010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E45891">
              <w:rPr>
                <w:rFonts w:ascii="Arial" w:hAnsi="Arial" w:cs="Arial"/>
                <w:i/>
                <w:sz w:val="22"/>
                <w:szCs w:val="22"/>
              </w:rPr>
              <w:t>Water safety signs and beach safety flags -- Part 1: Specifications for water safety signs used in workplaces and public areas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666F31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C49C3F" w14:textId="39EA17F3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6CF8996C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D0F2" w14:textId="77777777" w:rsidR="004269B6" w:rsidRPr="009F5B8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less than 40mm in diameter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D88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8E66" w14:textId="40579943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2D92E176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B12F" w14:textId="77777777" w:rsidR="004269B6" w:rsidRPr="009F5B8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blue and white 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0FC0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AA6" w14:textId="2E54FE44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562211DE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28C8" w14:textId="77777777" w:rsidR="004269B6" w:rsidRPr="009F5B8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permanently printed or embossed on the pool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7459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3F32" w14:textId="7E5ACBE4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79B603EF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144E08" w14:textId="77777777" w:rsidR="004269B6" w:rsidRPr="009F5B8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contrasting to colour of background</w:t>
            </w:r>
          </w:p>
        </w:tc>
        <w:tc>
          <w:tcPr>
            <w:tcW w:w="23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0287AF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ashSmallGap" w:sz="4" w:space="0" w:color="auto"/>
            </w:tcBorders>
          </w:tcPr>
          <w:p w14:paraId="5E1C2B4D" w14:textId="2DEEC454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4CC152EF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6C1D54B" w14:textId="77777777" w:rsidR="004269B6" w:rsidRPr="009F5B86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appears next to the other warning messages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520869F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D95C94" w14:textId="48C2FB2B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  <w:tr w:rsidR="004269B6" w:rsidRPr="009F6476" w14:paraId="1EB8405C" w14:textId="77777777" w:rsidTr="007B227C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1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8B5E" w14:textId="77777777" w:rsidR="004269B6" w:rsidRPr="00B44899" w:rsidRDefault="004269B6" w:rsidP="004269B6">
            <w:pPr>
              <w:numPr>
                <w:ilvl w:val="4"/>
                <w:numId w:val="2"/>
              </w:numPr>
              <w:tabs>
                <w:tab w:val="clear" w:pos="360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432" w:hanging="426"/>
              <w:textAlignment w:val="baseline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not distorted</w:t>
            </w:r>
          </w:p>
        </w:tc>
        <w:tc>
          <w:tcPr>
            <w:tcW w:w="23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683E" w14:textId="77777777" w:rsidR="004269B6" w:rsidRPr="006C402A" w:rsidRDefault="004269B6" w:rsidP="004269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FD38" w14:textId="26FC5A4D" w:rsidR="004269B6" w:rsidRPr="001931A0" w:rsidRDefault="004269B6" w:rsidP="004269B6">
            <w:pPr>
              <w:ind w:right="-187"/>
              <w:rPr>
                <w:rFonts w:ascii="Arial" w:hAnsi="Arial" w:cs="Arial"/>
                <w:position w:val="10"/>
                <w:sz w:val="22"/>
                <w:szCs w:val="22"/>
              </w:rPr>
            </w:pPr>
            <w:r w:rsidRPr="00AA5B20">
              <w:rPr>
                <w:rFonts w:ascii="Arial" w:hAnsi="Arial" w:cs="Arial"/>
                <w:position w:val="10"/>
                <w:sz w:val="44"/>
                <w:szCs w:val="44"/>
              </w:rPr>
              <w:t>□</w:t>
            </w:r>
            <w:r w:rsidRPr="00AA5B20">
              <w:rPr>
                <w:rFonts w:ascii="Arial" w:hAnsi="Arial" w:cs="Arial"/>
                <w:position w:val="10"/>
                <w:sz w:val="22"/>
                <w:szCs w:val="22"/>
              </w:rPr>
              <w:t xml:space="preserve"> YES</w:t>
            </w:r>
          </w:p>
        </w:tc>
      </w:tr>
    </w:tbl>
    <w:p w14:paraId="22B3C00F" w14:textId="77777777" w:rsidR="00B44899" w:rsidRDefault="00B44899" w:rsidP="002745FB"/>
    <w:sectPr w:rsidR="00B44899" w:rsidSect="0016518B">
      <w:footerReference w:type="default" r:id="rId8"/>
      <w:footerReference w:type="first" r:id="rId9"/>
      <w:pgSz w:w="16838" w:h="11906" w:orient="landscape" w:code="9"/>
      <w:pgMar w:top="568" w:right="720" w:bottom="567" w:left="720" w:header="709" w:footer="332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B5A54" w14:textId="77777777" w:rsidR="003633D8" w:rsidRDefault="003633D8" w:rsidP="00304C83">
      <w:r>
        <w:separator/>
      </w:r>
    </w:p>
  </w:endnote>
  <w:endnote w:type="continuationSeparator" w:id="0">
    <w:p w14:paraId="08EB186B" w14:textId="77777777" w:rsidR="003633D8" w:rsidRDefault="003633D8" w:rsidP="00304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2"/>
        <w:szCs w:val="22"/>
      </w:rPr>
      <w:id w:val="-16229157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2044557602"/>
          <w:docPartObj>
            <w:docPartGallery w:val="Page Numbers (Top of Page)"/>
            <w:docPartUnique/>
          </w:docPartObj>
        </w:sdtPr>
        <w:sdtContent>
          <w:p w14:paraId="293617DD" w14:textId="31BEAB82" w:rsidR="0016518B" w:rsidRPr="00776E8A" w:rsidRDefault="00776E8A" w:rsidP="00776E8A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1F5A366" wp14:editId="378A4A89">
                  <wp:extent cx="657225" cy="180975"/>
                  <wp:effectExtent l="0" t="0" r="0" b="0"/>
                  <wp:docPr id="2" name="Picture 2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8174388" w:displacedByCustomXml="next"/>
  <w:bookmarkStart w:id="3" w:name="_Hlk528174387" w:displacedByCustomXml="next"/>
  <w:sdt>
    <w:sdtPr>
      <w:rPr>
        <w:rFonts w:ascii="Arial" w:hAnsi="Arial" w:cs="Arial"/>
        <w:sz w:val="22"/>
        <w:szCs w:val="22"/>
      </w:rPr>
      <w:id w:val="-1776394302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2"/>
            <w:szCs w:val="22"/>
          </w:rPr>
          <w:id w:val="-138731845"/>
          <w:docPartObj>
            <w:docPartGallery w:val="Page Numbers (Top of Page)"/>
            <w:docPartUnique/>
          </w:docPartObj>
        </w:sdtPr>
        <w:sdtContent>
          <w:p w14:paraId="2B3AFC93" w14:textId="0ED3EE12" w:rsidR="0016518B" w:rsidRPr="00776E8A" w:rsidRDefault="00776E8A" w:rsidP="00776E8A">
            <w:pPr>
              <w:pStyle w:val="Footer"/>
              <w:tabs>
                <w:tab w:val="clear" w:pos="4513"/>
                <w:tab w:val="clear" w:pos="9026"/>
                <w:tab w:val="left" w:pos="7513"/>
                <w:tab w:val="left" w:pos="14034"/>
              </w:tabs>
              <w:ind w:left="142" w:right="23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445485E" wp14:editId="40F5F572">
                  <wp:extent cx="657225" cy="180975"/>
                  <wp:effectExtent l="0" t="0" r="0" b="0"/>
                  <wp:docPr id="3" name="Picture 3" descr="Logo_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 © Watchdog Compliance Pty Ltd</w:t>
            </w:r>
            <w:r>
              <w:rPr>
                <w:rFonts w:ascii="Arial" w:hAnsi="Arial" w:cs="Arial"/>
                <w:sz w:val="22"/>
                <w:szCs w:val="22"/>
              </w:rPr>
              <w:tab/>
              <w:t>Version 18.10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710A4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671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bookmarkEnd w:id="2" w:displacedByCustomXml="prev"/>
  <w:bookmarkEnd w:id="3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908CC" w14:textId="77777777" w:rsidR="003633D8" w:rsidRDefault="003633D8" w:rsidP="00304C83">
      <w:r>
        <w:separator/>
      </w:r>
    </w:p>
  </w:footnote>
  <w:footnote w:type="continuationSeparator" w:id="0">
    <w:p w14:paraId="3E90C866" w14:textId="77777777" w:rsidR="003633D8" w:rsidRDefault="003633D8" w:rsidP="00304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7A62"/>
    <w:multiLevelType w:val="hybridMultilevel"/>
    <w:tmpl w:val="6218A38E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30402"/>
    <w:multiLevelType w:val="hybridMultilevel"/>
    <w:tmpl w:val="EEBC2AD8"/>
    <w:lvl w:ilvl="0" w:tplc="0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E242454"/>
    <w:multiLevelType w:val="hybridMultilevel"/>
    <w:tmpl w:val="D4684A5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FD9205D"/>
    <w:multiLevelType w:val="hybridMultilevel"/>
    <w:tmpl w:val="D7AA490C"/>
    <w:lvl w:ilvl="0" w:tplc="E90ABC1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60849"/>
    <w:multiLevelType w:val="hybridMultilevel"/>
    <w:tmpl w:val="75526E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8C0C21"/>
    <w:multiLevelType w:val="hybridMultilevel"/>
    <w:tmpl w:val="ED243B28"/>
    <w:lvl w:ilvl="0" w:tplc="436007A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813514"/>
    <w:multiLevelType w:val="hybridMultilevel"/>
    <w:tmpl w:val="DF0C892A"/>
    <w:lvl w:ilvl="0" w:tplc="0896C764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1F995F2C"/>
    <w:multiLevelType w:val="multilevel"/>
    <w:tmpl w:val="D3B8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D72957"/>
    <w:multiLevelType w:val="hybridMultilevel"/>
    <w:tmpl w:val="2DAC9A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446953"/>
    <w:multiLevelType w:val="hybridMultilevel"/>
    <w:tmpl w:val="B1823C3A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A79B4"/>
    <w:multiLevelType w:val="hybridMultilevel"/>
    <w:tmpl w:val="91EA261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EE13BFD"/>
    <w:multiLevelType w:val="hybridMultilevel"/>
    <w:tmpl w:val="5748B708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063A40">
      <w:start w:val="1"/>
      <w:numFmt w:val="lowerLetter"/>
      <w:lvlText w:val="(%2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ADD5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/>
        <w:sz w:val="20"/>
      </w:rPr>
    </w:lvl>
    <w:lvl w:ilvl="5" w:tplc="19FACD46">
      <w:start w:val="1"/>
      <w:numFmt w:val="bullet"/>
      <w:lvlText w:val="o"/>
      <w:lvlJc w:val="left"/>
      <w:pPr>
        <w:tabs>
          <w:tab w:val="num" w:pos="4320"/>
        </w:tabs>
        <w:ind w:left="4320" w:hanging="180"/>
      </w:pPr>
      <w:rPr>
        <w:rFonts w:ascii="Courier New" w:hAnsi="Courier New" w:hint="default"/>
        <w:sz w:val="22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032"/>
    <w:multiLevelType w:val="hybridMultilevel"/>
    <w:tmpl w:val="4328CF22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57D3A97"/>
    <w:multiLevelType w:val="hybridMultilevel"/>
    <w:tmpl w:val="D0CCA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7033D81"/>
    <w:multiLevelType w:val="hybridMultilevel"/>
    <w:tmpl w:val="9236ACE0"/>
    <w:lvl w:ilvl="0" w:tplc="ED543A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96B08BD8">
      <w:start w:val="3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470B7E"/>
    <w:multiLevelType w:val="hybridMultilevel"/>
    <w:tmpl w:val="1CDC7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863AC"/>
    <w:multiLevelType w:val="hybridMultilevel"/>
    <w:tmpl w:val="040C7B1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2116BC"/>
    <w:multiLevelType w:val="hybridMultilevel"/>
    <w:tmpl w:val="AB5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F6C36"/>
    <w:multiLevelType w:val="hybridMultilevel"/>
    <w:tmpl w:val="65AE1C84"/>
    <w:lvl w:ilvl="0" w:tplc="70063A40">
      <w:start w:val="1"/>
      <w:numFmt w:val="lowerLetter"/>
      <w:lvlText w:val="(%1)"/>
      <w:lvlJc w:val="left"/>
      <w:pPr>
        <w:tabs>
          <w:tab w:val="num" w:pos="1647"/>
        </w:tabs>
        <w:ind w:left="1647" w:hanging="567"/>
      </w:pPr>
      <w:rPr>
        <w:rFonts w:hint="default"/>
        <w:color w:val="auto"/>
        <w:spacing w:val="0"/>
        <w:kern w:val="0"/>
        <w:position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676A6"/>
    <w:multiLevelType w:val="hybridMultilevel"/>
    <w:tmpl w:val="0AACAB6E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243EB0"/>
    <w:multiLevelType w:val="hybridMultilevel"/>
    <w:tmpl w:val="497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118C9"/>
    <w:multiLevelType w:val="hybridMultilevel"/>
    <w:tmpl w:val="FD3447BC"/>
    <w:lvl w:ilvl="0" w:tplc="F65CC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C14CB2"/>
    <w:multiLevelType w:val="hybridMultilevel"/>
    <w:tmpl w:val="D110F4C6"/>
    <w:lvl w:ilvl="0" w:tplc="360862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73E0C"/>
    <w:multiLevelType w:val="hybridMultilevel"/>
    <w:tmpl w:val="454254D2"/>
    <w:lvl w:ilvl="0" w:tplc="19FACD4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AF5710"/>
    <w:multiLevelType w:val="hybridMultilevel"/>
    <w:tmpl w:val="D99CF064"/>
    <w:lvl w:ilvl="0" w:tplc="61928D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73CE7BD1"/>
    <w:multiLevelType w:val="hybridMultilevel"/>
    <w:tmpl w:val="C6846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6A2286"/>
    <w:multiLevelType w:val="hybridMultilevel"/>
    <w:tmpl w:val="4FA6E7B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8"/>
  </w:num>
  <w:num w:numId="5">
    <w:abstractNumId w:val="19"/>
  </w:num>
  <w:num w:numId="6">
    <w:abstractNumId w:val="5"/>
  </w:num>
  <w:num w:numId="7">
    <w:abstractNumId w:val="10"/>
  </w:num>
  <w:num w:numId="8">
    <w:abstractNumId w:val="13"/>
  </w:num>
  <w:num w:numId="9">
    <w:abstractNumId w:val="7"/>
  </w:num>
  <w:num w:numId="10">
    <w:abstractNumId w:val="4"/>
  </w:num>
  <w:num w:numId="11">
    <w:abstractNumId w:val="24"/>
  </w:num>
  <w:num w:numId="12">
    <w:abstractNumId w:val="23"/>
  </w:num>
  <w:num w:numId="13">
    <w:abstractNumId w:val="25"/>
  </w:num>
  <w:num w:numId="14">
    <w:abstractNumId w:val="1"/>
  </w:num>
  <w:num w:numId="15">
    <w:abstractNumId w:val="14"/>
  </w:num>
  <w:num w:numId="16">
    <w:abstractNumId w:val="16"/>
  </w:num>
  <w:num w:numId="17">
    <w:abstractNumId w:val="17"/>
  </w:num>
  <w:num w:numId="18">
    <w:abstractNumId w:val="20"/>
  </w:num>
  <w:num w:numId="19">
    <w:abstractNumId w:val="12"/>
  </w:num>
  <w:num w:numId="20">
    <w:abstractNumId w:val="22"/>
  </w:num>
  <w:num w:numId="21">
    <w:abstractNumId w:val="26"/>
  </w:num>
  <w:num w:numId="22">
    <w:abstractNumId w:val="15"/>
  </w:num>
  <w:num w:numId="23">
    <w:abstractNumId w:val="3"/>
  </w:num>
  <w:num w:numId="24">
    <w:abstractNumId w:val="6"/>
  </w:num>
  <w:num w:numId="25">
    <w:abstractNumId w:val="2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B77"/>
    <w:rsid w:val="00002CD6"/>
    <w:rsid w:val="000037A4"/>
    <w:rsid w:val="000073C3"/>
    <w:rsid w:val="00012933"/>
    <w:rsid w:val="000211C7"/>
    <w:rsid w:val="000254E0"/>
    <w:rsid w:val="00026356"/>
    <w:rsid w:val="0003078F"/>
    <w:rsid w:val="00032ADA"/>
    <w:rsid w:val="000530FF"/>
    <w:rsid w:val="00061212"/>
    <w:rsid w:val="000650BF"/>
    <w:rsid w:val="00072D78"/>
    <w:rsid w:val="00075D88"/>
    <w:rsid w:val="00081288"/>
    <w:rsid w:val="00091866"/>
    <w:rsid w:val="000A4414"/>
    <w:rsid w:val="000A5F54"/>
    <w:rsid w:val="000B42AF"/>
    <w:rsid w:val="000D4BD4"/>
    <w:rsid w:val="000E5A0A"/>
    <w:rsid w:val="000F6D9C"/>
    <w:rsid w:val="000F7DEB"/>
    <w:rsid w:val="0010079B"/>
    <w:rsid w:val="00131984"/>
    <w:rsid w:val="00133BB2"/>
    <w:rsid w:val="00143C55"/>
    <w:rsid w:val="0015470B"/>
    <w:rsid w:val="0016518B"/>
    <w:rsid w:val="00172D7B"/>
    <w:rsid w:val="001879FF"/>
    <w:rsid w:val="001931A0"/>
    <w:rsid w:val="00195BC6"/>
    <w:rsid w:val="001C0E7F"/>
    <w:rsid w:val="001D4718"/>
    <w:rsid w:val="001D502E"/>
    <w:rsid w:val="00204E5C"/>
    <w:rsid w:val="0023267E"/>
    <w:rsid w:val="002364D7"/>
    <w:rsid w:val="002745FB"/>
    <w:rsid w:val="002763C5"/>
    <w:rsid w:val="0027767C"/>
    <w:rsid w:val="0029022B"/>
    <w:rsid w:val="002D2FC2"/>
    <w:rsid w:val="002E4A82"/>
    <w:rsid w:val="00306E9A"/>
    <w:rsid w:val="00324219"/>
    <w:rsid w:val="0033772B"/>
    <w:rsid w:val="00353191"/>
    <w:rsid w:val="00356E97"/>
    <w:rsid w:val="003633D8"/>
    <w:rsid w:val="00363A51"/>
    <w:rsid w:val="0036794E"/>
    <w:rsid w:val="003B15AF"/>
    <w:rsid w:val="003D77A8"/>
    <w:rsid w:val="003E33CC"/>
    <w:rsid w:val="003E6E6E"/>
    <w:rsid w:val="003F69C6"/>
    <w:rsid w:val="00414B08"/>
    <w:rsid w:val="00424B28"/>
    <w:rsid w:val="004269B6"/>
    <w:rsid w:val="004270C5"/>
    <w:rsid w:val="00432A88"/>
    <w:rsid w:val="00437F12"/>
    <w:rsid w:val="00451653"/>
    <w:rsid w:val="00461743"/>
    <w:rsid w:val="004667A8"/>
    <w:rsid w:val="0047003A"/>
    <w:rsid w:val="004715A9"/>
    <w:rsid w:val="0047187A"/>
    <w:rsid w:val="00473B77"/>
    <w:rsid w:val="00477868"/>
    <w:rsid w:val="00485B3C"/>
    <w:rsid w:val="00490B76"/>
    <w:rsid w:val="004937B5"/>
    <w:rsid w:val="004D258A"/>
    <w:rsid w:val="004D6397"/>
    <w:rsid w:val="004D6A9F"/>
    <w:rsid w:val="004E0B11"/>
    <w:rsid w:val="00511F30"/>
    <w:rsid w:val="0053252C"/>
    <w:rsid w:val="00532708"/>
    <w:rsid w:val="00544C50"/>
    <w:rsid w:val="0059468E"/>
    <w:rsid w:val="005958CA"/>
    <w:rsid w:val="005A1FFE"/>
    <w:rsid w:val="005C33DD"/>
    <w:rsid w:val="006064A3"/>
    <w:rsid w:val="006243E3"/>
    <w:rsid w:val="00642D1A"/>
    <w:rsid w:val="006541B9"/>
    <w:rsid w:val="0066432B"/>
    <w:rsid w:val="00665A9A"/>
    <w:rsid w:val="00686436"/>
    <w:rsid w:val="006864B3"/>
    <w:rsid w:val="00695B8A"/>
    <w:rsid w:val="00695FCF"/>
    <w:rsid w:val="006A1D6B"/>
    <w:rsid w:val="006C280F"/>
    <w:rsid w:val="006D2BCF"/>
    <w:rsid w:val="006D2E04"/>
    <w:rsid w:val="006E272B"/>
    <w:rsid w:val="006E5EDA"/>
    <w:rsid w:val="00704C38"/>
    <w:rsid w:val="00711FC2"/>
    <w:rsid w:val="00714B1E"/>
    <w:rsid w:val="00725F6F"/>
    <w:rsid w:val="007270C0"/>
    <w:rsid w:val="00733400"/>
    <w:rsid w:val="00757198"/>
    <w:rsid w:val="00776E8A"/>
    <w:rsid w:val="007A455A"/>
    <w:rsid w:val="007B1D9B"/>
    <w:rsid w:val="007B6687"/>
    <w:rsid w:val="007C3034"/>
    <w:rsid w:val="007F638E"/>
    <w:rsid w:val="007F6FB3"/>
    <w:rsid w:val="008153DF"/>
    <w:rsid w:val="00817E80"/>
    <w:rsid w:val="00821306"/>
    <w:rsid w:val="008254B1"/>
    <w:rsid w:val="00825AD2"/>
    <w:rsid w:val="00836F15"/>
    <w:rsid w:val="00841084"/>
    <w:rsid w:val="008430B8"/>
    <w:rsid w:val="00846D51"/>
    <w:rsid w:val="0084732D"/>
    <w:rsid w:val="0086779E"/>
    <w:rsid w:val="00892758"/>
    <w:rsid w:val="0089277E"/>
    <w:rsid w:val="008941A3"/>
    <w:rsid w:val="008D50B0"/>
    <w:rsid w:val="00922F05"/>
    <w:rsid w:val="0093713E"/>
    <w:rsid w:val="00946C0B"/>
    <w:rsid w:val="00967CC3"/>
    <w:rsid w:val="00972753"/>
    <w:rsid w:val="00990412"/>
    <w:rsid w:val="009B2581"/>
    <w:rsid w:val="009C080F"/>
    <w:rsid w:val="009E6223"/>
    <w:rsid w:val="009F5B86"/>
    <w:rsid w:val="00A111F3"/>
    <w:rsid w:val="00A16E46"/>
    <w:rsid w:val="00A25D5D"/>
    <w:rsid w:val="00A33A02"/>
    <w:rsid w:val="00A46981"/>
    <w:rsid w:val="00A515EA"/>
    <w:rsid w:val="00A62979"/>
    <w:rsid w:val="00A800EF"/>
    <w:rsid w:val="00A92F1D"/>
    <w:rsid w:val="00A95805"/>
    <w:rsid w:val="00AC3C84"/>
    <w:rsid w:val="00AD4914"/>
    <w:rsid w:val="00AE3CEA"/>
    <w:rsid w:val="00AE5C33"/>
    <w:rsid w:val="00AF0BF8"/>
    <w:rsid w:val="00B10B07"/>
    <w:rsid w:val="00B11A53"/>
    <w:rsid w:val="00B13733"/>
    <w:rsid w:val="00B14054"/>
    <w:rsid w:val="00B44899"/>
    <w:rsid w:val="00B4539B"/>
    <w:rsid w:val="00B51998"/>
    <w:rsid w:val="00B536B3"/>
    <w:rsid w:val="00B57C18"/>
    <w:rsid w:val="00B751B4"/>
    <w:rsid w:val="00B86033"/>
    <w:rsid w:val="00BC0CAB"/>
    <w:rsid w:val="00BC626E"/>
    <w:rsid w:val="00C21537"/>
    <w:rsid w:val="00C32C23"/>
    <w:rsid w:val="00C43824"/>
    <w:rsid w:val="00C83481"/>
    <w:rsid w:val="00C9682B"/>
    <w:rsid w:val="00CB02BC"/>
    <w:rsid w:val="00CB6333"/>
    <w:rsid w:val="00D03FF5"/>
    <w:rsid w:val="00D10B23"/>
    <w:rsid w:val="00D30DAA"/>
    <w:rsid w:val="00D430C1"/>
    <w:rsid w:val="00D7546F"/>
    <w:rsid w:val="00D90730"/>
    <w:rsid w:val="00DB2F7A"/>
    <w:rsid w:val="00DC78B8"/>
    <w:rsid w:val="00DD75B7"/>
    <w:rsid w:val="00DE46BE"/>
    <w:rsid w:val="00DF7412"/>
    <w:rsid w:val="00E05266"/>
    <w:rsid w:val="00E10FE1"/>
    <w:rsid w:val="00E17C6C"/>
    <w:rsid w:val="00E53C96"/>
    <w:rsid w:val="00E651C0"/>
    <w:rsid w:val="00E651DB"/>
    <w:rsid w:val="00E93649"/>
    <w:rsid w:val="00E95C77"/>
    <w:rsid w:val="00EB3E97"/>
    <w:rsid w:val="00EE0DCD"/>
    <w:rsid w:val="00EE0EA7"/>
    <w:rsid w:val="00F21C3D"/>
    <w:rsid w:val="00F31D84"/>
    <w:rsid w:val="00F50CB3"/>
    <w:rsid w:val="00F63517"/>
    <w:rsid w:val="00FA691B"/>
    <w:rsid w:val="00FB1AE7"/>
    <w:rsid w:val="00FC3F44"/>
    <w:rsid w:val="00FD039D"/>
    <w:rsid w:val="00FD6816"/>
    <w:rsid w:val="00FE4130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8F70F3"/>
  <w15:docId w15:val="{8AFE226C-2A30-42F8-83A9-6B033BD8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3B77"/>
    <w:rPr>
      <w:sz w:val="24"/>
      <w:szCs w:val="24"/>
    </w:rPr>
  </w:style>
  <w:style w:type="paragraph" w:styleId="Heading2">
    <w:name w:val="heading 2"/>
    <w:basedOn w:val="Normal"/>
    <w:next w:val="Normal"/>
    <w:qFormat/>
    <w:rsid w:val="00BC0CA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rsid w:val="00BC0CAB"/>
    <w:pPr>
      <w:jc w:val="both"/>
    </w:pPr>
    <w:rPr>
      <w:i w:val="0"/>
      <w:sz w:val="22"/>
      <w:szCs w:val="22"/>
    </w:rPr>
  </w:style>
  <w:style w:type="paragraph" w:styleId="TOC2">
    <w:name w:val="toc 2"/>
    <w:basedOn w:val="Normal"/>
    <w:next w:val="Normal"/>
    <w:autoRedefine/>
    <w:semiHidden/>
    <w:rsid w:val="001C0E7F"/>
    <w:pPr>
      <w:tabs>
        <w:tab w:val="right" w:leader="dot" w:pos="8993"/>
      </w:tabs>
      <w:spacing w:line="360" w:lineRule="auto"/>
      <w:ind w:left="238"/>
    </w:pPr>
    <w:rPr>
      <w:b/>
      <w:i/>
    </w:rPr>
  </w:style>
  <w:style w:type="table" w:styleId="TableGrid">
    <w:name w:val="Table Grid"/>
    <w:basedOn w:val="TableNormal"/>
    <w:rsid w:val="00473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73B77"/>
    <w:pPr>
      <w:overflowPunct w:val="0"/>
      <w:autoSpaceDE w:val="0"/>
      <w:autoSpaceDN w:val="0"/>
      <w:adjustRightInd w:val="0"/>
      <w:spacing w:before="240" w:line="360" w:lineRule="atLeast"/>
      <w:textAlignment w:val="baseline"/>
    </w:pPr>
    <w:rPr>
      <w:rFonts w:ascii="New York" w:hAnsi="New York"/>
      <w:sz w:val="26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4108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50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0CB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33D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D75B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65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651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1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‘Attachment 26’</vt:lpstr>
    </vt:vector>
  </TitlesOfParts>
  <Company> Watchdog Compliance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‘Attachment 26’</dc:title>
  <dc:subject/>
  <dc:creator>Michelle Johnson</dc:creator>
  <cp:keywords/>
  <dc:description/>
  <cp:lastModifiedBy>David Johnson</cp:lastModifiedBy>
  <cp:revision>79</cp:revision>
  <cp:lastPrinted>2016-12-18T14:06:00Z</cp:lastPrinted>
  <dcterms:created xsi:type="dcterms:W3CDTF">2012-12-18T07:53:00Z</dcterms:created>
  <dcterms:modified xsi:type="dcterms:W3CDTF">2018-10-24T09:17:00Z</dcterms:modified>
</cp:coreProperties>
</file>